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惠州</w:t>
      </w:r>
      <w:r>
        <w:rPr>
          <w:rFonts w:hint="eastAsia" w:ascii="方正小标宋_GBK" w:hAnsi="方正小标宋_GBK" w:eastAsia="方正小标宋_GBK" w:cs="方正小标宋_GBK"/>
          <w:color w:val="auto"/>
          <w:sz w:val="44"/>
          <w:szCs w:val="44"/>
          <w:highlight w:val="none"/>
          <w:lang w:val="en-US" w:eastAsia="zh-CN"/>
        </w:rPr>
        <w:t>仲恺高新区</w:t>
      </w:r>
      <w:r>
        <w:rPr>
          <w:rFonts w:hint="eastAsia" w:ascii="方正小标宋_GBK" w:hAnsi="方正小标宋_GBK" w:eastAsia="方正小标宋_GBK" w:cs="方正小标宋_GBK"/>
          <w:color w:val="auto"/>
          <w:sz w:val="44"/>
          <w:szCs w:val="44"/>
          <w:highlight w:val="none"/>
        </w:rPr>
        <w:t>国有建设用地使用权</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华文中宋" w:hAnsi="华文中宋" w:eastAsia="华文中宋" w:cs="华文中宋"/>
          <w:color w:val="auto"/>
          <w:sz w:val="44"/>
          <w:szCs w:val="44"/>
          <w:highlight w:val="none"/>
        </w:rPr>
      </w:pPr>
      <w:r>
        <w:rPr>
          <w:rFonts w:hint="eastAsia" w:ascii="方正小标宋_GBK" w:hAnsi="方正小标宋_GBK" w:eastAsia="方正小标宋_GBK" w:cs="方正小标宋_GBK"/>
          <w:color w:val="auto"/>
          <w:sz w:val="44"/>
          <w:szCs w:val="44"/>
          <w:highlight w:val="none"/>
        </w:rPr>
        <w:t>网上挂牌出让竞买须知</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jc w:val="center"/>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惠仲土（用地）挂[2023]075号</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 w:hAnsi="仿宋" w:eastAsia="仿宋" w:cs="仿宋"/>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国有建设用地使用权网上挂牌出让，是指在惠州市公共资源交易平台发布挂牌出让公告和须知，竞买人通过惠州市公共资源交易中心土地与矿业网上挂牌交易系统（以下简称“网上挂牌交易系统”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网址：https://www.hzgtjy.com/</w:t>
      </w:r>
      <w:r>
        <w:rPr>
          <w:rFonts w:hint="eastAsia" w:ascii="仿宋_GB2312" w:hAnsi="仿宋_GB2312" w:eastAsia="仿宋_GB2312" w:cs="仿宋_GB2312"/>
          <w:color w:val="auto"/>
          <w:sz w:val="32"/>
          <w:szCs w:val="32"/>
        </w:rPr>
        <w:t>）参与电子挂牌交易的行为。本竞买须知是具备法律约束力的重要文件，竞买人须详细阅读。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二、本宗国有建设用地使用权网上挂牌出让遵循公开、公平、公正和诚实信用原则。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三、中华人民共和国境内外的法人和其他组织均可申请竞买，可以单独申请，也可以联合申请。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挂牌出让公告对竞买资格有特别要求的，以挂牌出让公告为准。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四、申请人对网上挂牌出让文件有疑问的，可在网上挂牌活动开始前以书面或者口头方式向</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咨询。有意竞买者可自行踏勘现场（可在网上挂牌交易系统查阅</w:t>
      </w:r>
      <w:r>
        <w:rPr>
          <w:rFonts w:hint="eastAsia" w:ascii="仿宋_GB2312" w:hAnsi="仿宋_GB2312" w:eastAsia="仿宋_GB2312" w:cs="仿宋_GB2312"/>
          <w:color w:val="auto"/>
          <w:sz w:val="32"/>
          <w:szCs w:val="32"/>
          <w:lang w:val="en-US" w:eastAsia="zh-CN"/>
        </w:rPr>
        <w:t>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五、网上挂牌交易程序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（一）发布网上挂牌信息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有关宗地的电子挂牌交易公告等相关信息通过</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中心门户网站、</w:t>
      </w:r>
      <w:r>
        <w:rPr>
          <w:rFonts w:hint="eastAsia" w:ascii="仿宋_GB2312" w:hAnsi="仿宋_GB2312" w:eastAsia="仿宋_GB2312" w:cs="仿宋_GB2312"/>
          <w:color w:val="auto"/>
          <w:sz w:val="32"/>
          <w:szCs w:val="32"/>
          <w:lang w:val="en-US" w:eastAsia="zh-CN"/>
        </w:rPr>
        <w:t>我中心</w:t>
      </w:r>
      <w:r>
        <w:rPr>
          <w:rFonts w:hint="eastAsia" w:ascii="仿宋_GB2312" w:hAnsi="仿宋_GB2312" w:eastAsia="仿宋_GB2312" w:cs="仿宋_GB2312"/>
          <w:color w:val="auto"/>
          <w:sz w:val="32"/>
          <w:szCs w:val="32"/>
        </w:rPr>
        <w:t>交易大厅的电子显示屏、中国土地市场网和网上挂牌交易系统等媒介同步发布。有意竞买者可登录网上挂牌交易系统网站查询。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（二）挂牌文件获取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申请人可在网上挂牌交易系统浏览和下载本宗地网上挂牌出让文件，具体包括：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2、惠州</w:t>
      </w:r>
      <w:r>
        <w:rPr>
          <w:rFonts w:hint="eastAsia" w:ascii="仿宋_GB2312" w:hAnsi="仿宋_GB2312" w:eastAsia="仿宋_GB2312" w:cs="仿宋_GB2312"/>
          <w:color w:val="auto"/>
          <w:sz w:val="32"/>
          <w:szCs w:val="32"/>
          <w:lang w:val="en-US" w:eastAsia="zh-CN"/>
        </w:rPr>
        <w:t>仲恺高新区</w:t>
      </w:r>
      <w:r>
        <w:rPr>
          <w:rFonts w:hint="eastAsia" w:ascii="仿宋_GB2312" w:hAnsi="仿宋_GB2312" w:eastAsia="仿宋_GB2312" w:cs="仿宋_GB2312"/>
          <w:color w:val="auto"/>
          <w:sz w:val="32"/>
          <w:szCs w:val="32"/>
        </w:rPr>
        <w:t>国有建设用地使用权网上挂牌出让竞买须知（以下简称“竞买须知”）；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宗地现状数码相片</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国有建设用地红线图</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5、《规划设计条件告知书》；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、《国有建设用地使用权出让合同》（以下简称“出让合同”）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样本）</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（三）办理数字证书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1、本宗国有建设用地使用权网上挂牌出让只能在互联网上，通过网上挂牌交易系统进行。只有</w:t>
      </w:r>
      <w:r>
        <w:rPr>
          <w:rFonts w:hint="eastAsia" w:ascii="仿宋_GB2312" w:hAnsi="仿宋_GB2312" w:eastAsia="仿宋_GB2312" w:cs="仿宋_GB2312"/>
          <w:color w:val="auto"/>
          <w:sz w:val="32"/>
          <w:szCs w:val="32"/>
          <w:lang w:val="en-US" w:eastAsia="zh-CN"/>
        </w:rPr>
        <w:t>符合竞买资格并</w:t>
      </w:r>
      <w:r>
        <w:rPr>
          <w:rFonts w:hint="eastAsia" w:ascii="仿宋_GB2312" w:hAnsi="仿宋_GB2312" w:eastAsia="仿宋_GB2312" w:cs="仿宋_GB2312"/>
          <w:color w:val="auto"/>
          <w:sz w:val="32"/>
          <w:szCs w:val="32"/>
        </w:rPr>
        <w:t xml:space="preserve">通过网上注册、办理数字证书、按要求足额交付竞买保证金的申请人，才能参加网上挂牌交易活动。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数字证书的办理流程详见网上挂牌交易系统上的《数字证书办理指南》。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（四）申请竞买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单笔竞买保证金对应一宗国有建设用地使用权竞买，如需竞买多宗国有建设用地使用权，须分别按时足额交纳竞买保证金。竞买保证金交纳截止时间以挂牌出让公告时间为准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委托人明确可以采用保函、保险等方式提交保证金的，应当满足电子数据文本的实现形式。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（五）交纳竞买保证金并获得竞买报价权限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1、竞买保证金是申请人参加网上挂牌交易活动的资格条件。按规定将竞买保证金汇入指定账户，是参加网上挂牌交易活动的必经程序。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2、竞买人应当提前交纳竞买保证金以确保在到账截止时间前到账，超过到账截止时间的保证金，网上挂牌交易系统将不予受理，造成的损失由竞买人自行承担。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3、跨地区或跨行转账的竞买人，需预足资金的在途时间，以免影响竞买人及时取得竞买</w:t>
      </w:r>
      <w:r>
        <w:rPr>
          <w:rFonts w:hint="eastAsia" w:ascii="仿宋_GB2312" w:hAnsi="仿宋_GB2312" w:eastAsia="仿宋_GB2312" w:cs="仿宋_GB2312"/>
          <w:color w:val="auto"/>
          <w:sz w:val="32"/>
          <w:szCs w:val="32"/>
          <w:highlight w:val="none"/>
          <w:lang w:eastAsia="zh-CN"/>
        </w:rPr>
        <w:t>报价权限</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4、竞买保证金到账时间以网上挂牌交易系统确认并发出《保证金到账通知书》为准。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5、竞买保证金开户单位：惠州市公共资源交易中心仲恺分中心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竞买保证金账号：网上挂牌交易系统随机产生竞买保证金支付账号。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开户银行：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工商银</w:t>
      </w:r>
      <w:r>
        <w:rPr>
          <w:rFonts w:hint="eastAsia" w:ascii="仿宋_GB2312" w:hAnsi="仿宋_GB2312" w:eastAsia="仿宋_GB2312" w:cs="仿宋_GB2312"/>
          <w:color w:val="auto"/>
          <w:sz w:val="32"/>
          <w:szCs w:val="32"/>
          <w:highlight w:val="none"/>
        </w:rPr>
        <w:t>行</w:t>
      </w:r>
      <w:r>
        <w:rPr>
          <w:rFonts w:hint="eastAsia" w:ascii="仿宋_GB2312" w:hAnsi="仿宋_GB2312" w:eastAsia="仿宋_GB2312" w:cs="仿宋_GB2312"/>
          <w:color w:val="auto"/>
          <w:sz w:val="32"/>
          <w:szCs w:val="32"/>
          <w:highlight w:val="none"/>
          <w:lang w:val="en-US" w:eastAsia="zh-CN"/>
        </w:rPr>
        <w:t>仲恺高新区</w:t>
      </w:r>
      <w:r>
        <w:rPr>
          <w:rFonts w:hint="eastAsia" w:ascii="仿宋_GB2312" w:hAnsi="仿宋_GB2312" w:eastAsia="仿宋_GB2312" w:cs="仿宋_GB2312"/>
          <w:color w:val="auto"/>
          <w:sz w:val="32"/>
          <w:szCs w:val="32"/>
          <w:highlight w:val="none"/>
        </w:rPr>
        <w:t>支行；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（2）中</w:t>
      </w:r>
      <w:r>
        <w:rPr>
          <w:rFonts w:hint="eastAsia" w:ascii="仿宋_GB2312" w:hAnsi="仿宋_GB2312" w:eastAsia="仿宋_GB2312" w:cs="仿宋_GB2312"/>
          <w:color w:val="auto"/>
          <w:sz w:val="32"/>
          <w:szCs w:val="32"/>
          <w:highlight w:val="none"/>
          <w:lang w:val="en-US" w:eastAsia="zh-CN"/>
        </w:rPr>
        <w:t>国银</w:t>
      </w:r>
      <w:r>
        <w:rPr>
          <w:rFonts w:hint="eastAsia" w:ascii="仿宋_GB2312" w:hAnsi="仿宋_GB2312" w:eastAsia="仿宋_GB2312" w:cs="仿宋_GB2312"/>
          <w:color w:val="auto"/>
          <w:sz w:val="32"/>
          <w:szCs w:val="32"/>
          <w:highlight w:val="none"/>
        </w:rPr>
        <w:t>行惠州</w:t>
      </w:r>
      <w:r>
        <w:rPr>
          <w:rFonts w:hint="eastAsia" w:ascii="仿宋_GB2312" w:hAnsi="仿宋_GB2312" w:eastAsia="仿宋_GB2312" w:cs="仿宋_GB2312"/>
          <w:color w:val="auto"/>
          <w:sz w:val="32"/>
          <w:szCs w:val="32"/>
          <w:highlight w:val="none"/>
          <w:lang w:val="en-US" w:eastAsia="zh-CN"/>
        </w:rPr>
        <w:t>仲恺开发区支</w:t>
      </w:r>
      <w:r>
        <w:rPr>
          <w:rFonts w:hint="eastAsia" w:ascii="仿宋_GB2312" w:hAnsi="仿宋_GB2312" w:eastAsia="仿宋_GB2312" w:cs="仿宋_GB2312"/>
          <w:color w:val="auto"/>
          <w:sz w:val="32"/>
          <w:szCs w:val="32"/>
          <w:highlight w:val="none"/>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lang w:val="en-US" w:eastAsia="zh-CN"/>
        </w:rPr>
        <w:t>建设银行惠州开发区支行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lang w:val="en-US" w:eastAsia="zh-CN"/>
        </w:rPr>
        <w:t>中国农业银行惠州陈江支行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w:t>
      </w:r>
      <w:r>
        <w:rPr>
          <w:rFonts w:hint="eastAsia" w:ascii="仿宋_GB2312" w:hAnsi="仿宋_GB2312" w:eastAsia="仿宋_GB2312" w:cs="仿宋_GB2312"/>
          <w:color w:val="000000"/>
          <w:sz w:val="32"/>
          <w:szCs w:val="32"/>
          <w:highlight w:val="none"/>
          <w:lang w:val="en-US" w:eastAsia="zh-CN"/>
        </w:rPr>
        <w:t>惠州农村商业银行仲恺支行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CN"/>
        </w:rPr>
        <w:t>广发银行惠州仲恺科技园支行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lang w:val="en-US" w:eastAsia="zh-CN"/>
        </w:rPr>
        <w:t>珠海华润银行股份有限公司惠州分行</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（8）上海浦东发展银行股份有限公司惠州分行；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东莞银行惠州仲恺支行</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highlight w:val="none"/>
        </w:rPr>
        <w:t>申请人应根据网上挂牌交易系统生成的随机保证金账号按时足额交纳竞买保证金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并在网上挂牌交易系统确认竞买保证金到账之后，赋予竞买人对应宗地的竞买报价权限。</w:t>
      </w: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（六）竞买人电子报价及电子限时竞价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1、竞买人通过网上挂牌交易系统进行报价。电子报价和电子限时竞价按以下规则进行：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（1）增价方式进行报价；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（2）竞买人可多次报价；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（3）初次报价不得低于起始价；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（4）每次增价数额应是规定的增价幅度的整数倍；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（5）每次报价应当比当前最高报价至少递增1个增价幅度。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2、竞买人应当谨慎报价，报价一经提交并经网上挂牌交易系统确认为有效报价，不可撤回。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电子挂牌交易期限截止前，竞买人应当进行至少一次有效报价，方有资格参加该宗地的电子限时竞价。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3、电子挂牌交易宗地设有底价的，电子挂牌交易期限截止前半小时，在属地纪委监委和委托人的监督下，由</w:t>
      </w:r>
      <w:r>
        <w:rPr>
          <w:rFonts w:hint="eastAsia" w:ascii="仿宋_GB2312" w:hAnsi="仿宋_GB2312" w:eastAsia="仿宋_GB2312" w:cs="仿宋_GB2312"/>
          <w:color w:val="auto"/>
          <w:sz w:val="32"/>
          <w:szCs w:val="32"/>
          <w:lang w:val="en-US" w:eastAsia="zh-CN"/>
        </w:rPr>
        <w:t>我</w:t>
      </w:r>
      <w:r>
        <w:rPr>
          <w:rFonts w:hint="eastAsia" w:ascii="仿宋_GB2312" w:hAnsi="仿宋_GB2312" w:eastAsia="仿宋_GB2312" w:cs="仿宋_GB2312"/>
          <w:color w:val="auto"/>
          <w:sz w:val="32"/>
          <w:szCs w:val="32"/>
        </w:rPr>
        <w:t>中心在网上挂牌交易系统输入交易宗地底价。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电子挂牌交易按照下列规则确定成交候选人：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1、在电子挂牌交易期限内只有1个竞买人报价，且报价不低于底价的，则该报价者为成交候选人；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2、电子挂牌交易期限内有2个以上的竞买人报价，经网上挂牌交易系统询问，无竞买人愿意参加电子限时竞价的，以当前报价最高且报价不低于底价者为成交候选人；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3、电子挂牌交易期限内无报价或报价低于底价的，挂牌不成交；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4、进入电子限时竞价，电子限时竞价中报价最高且报价不低于底价者为成交候选人；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5、电子限时竞价中无竞买人报价的，以电子挂牌交易截止时报价最高且报价不低于底价者为成交候选人。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（八）成交候选人竞买资格审查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电子挂牌交易结束后，电子挂牌竞价结果即时通过网上挂牌交易系统发布。成交候选人应当在电子挂牌竞价结果公布后，按挂牌出让公告及本须知的要求将相关资料提交至</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进行竞买资格审查。符合竞买资格的，确定成交候选人为竞得人。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不符合竞买资格的，取消成交候选人资格，竞价结果无效。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挂牌出让公告规定竞买资格前置审查的，竞买申请人应按照挂牌出让公告的要求向</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提交竞买申请文件，由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进行竞买资格审查。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符合竞买资格的，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应当确认竞买申请人竞买资格并出具竞买资格确认书。竞买申请人取得竞买资格确认书后，方可参与电子挂牌交易活动。电子挂牌交易结束，成交候选人即为竞得人。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（九）公布交易结果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竞买资格前置审查的，交易系统自动公布交易结果；竞买资格后置审查的，</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确定竞得人后，由本中心通过网上挂牌交易系统发布交易结果。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（十）签订成交确认书和交易合同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确定竞得人后，竞得人按挂牌交易公告规定的时间与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、本中心签订成交确认书，竞得人根据成交确认书约定的时间与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签订交易合同。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六、系统操作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网上挂牌交易系统竞买人操作视频可在网上挂牌交易系统下载。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（二）单独申请竞买的，竞买申请人为</w:t>
      </w:r>
      <w:r>
        <w:rPr>
          <w:rFonts w:hint="eastAsia" w:ascii="仿宋_GB2312" w:hAnsi="仿宋_GB2312" w:eastAsia="仿宋_GB2312" w:cs="仿宋_GB2312"/>
          <w:b w:val="0"/>
          <w:bCs w:val="0"/>
          <w:color w:val="auto"/>
          <w:sz w:val="32"/>
          <w:szCs w:val="32"/>
          <w:highlight w:val="none"/>
          <w:lang w:eastAsia="zh-CN"/>
        </w:rPr>
        <w:t>非仲恺高新区注册登记的企业竞得土地使用权的，必须在竞得土地后2个月内在惠州仲恺高新区管理委员会市场监督管理局注册成立项目开发公司，并以该公司名义办理土地出让与登记发证手续</w:t>
      </w:r>
      <w:r>
        <w:rPr>
          <w:rFonts w:hint="eastAsia" w:ascii="仿宋_GB2312" w:hAnsi="仿宋_GB2312" w:eastAsia="仿宋_GB2312" w:cs="仿宋_GB2312"/>
          <w:color w:val="auto"/>
          <w:sz w:val="32"/>
          <w:szCs w:val="32"/>
        </w:rPr>
        <w:t>。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（三）联合申请竞买的，联合竞买人在提交竞买申请材料时，须提交联合竞买申请书和协议，协议主要规定联合各方的权利和义务、参与竞买的代表人、联合各方的出资比例等。联合竞买申请人竞得土地后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须在竞得土地后2个月内在惠州仲恺高新区管理委员会市场监督管理局，</w:t>
      </w:r>
      <w:r>
        <w:rPr>
          <w:rFonts w:hint="eastAsia" w:ascii="仿宋_GB2312" w:hAnsi="仿宋_GB2312" w:eastAsia="仿宋_GB2312" w:cs="仿宋_GB2312"/>
          <w:color w:val="auto"/>
          <w:sz w:val="32"/>
          <w:szCs w:val="32"/>
        </w:rPr>
        <w:t>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（四）《竞价结果通知书》对挂牌人和成交候选人具有法律效力，挂牌人改变网上挂牌结果的，或者成交候选人放弃竞得宗地的，应当承担相应法律责任。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竞得人应按挂牌出让公告规定的时间与</w:t>
      </w:r>
      <w:r>
        <w:rPr>
          <w:rFonts w:hint="eastAsia" w:ascii="仿宋_GB2312" w:hAnsi="仿宋_GB2312" w:eastAsia="仿宋_GB2312" w:cs="仿宋_GB2312"/>
          <w:color w:val="auto"/>
          <w:sz w:val="32"/>
          <w:szCs w:val="32"/>
          <w:lang w:eastAsia="zh-CN"/>
        </w:rPr>
        <w:t>本中心、</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签订成交确认书，根据成交确认书约定的时间与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签订出让合同，并按合同约定支付成交价款。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（五）本中心受托提供代收代退竞买保证金服务，未竞得人交纳的竞买保证金于电子挂牌交易活动结束之日起5个工作日内原路退还，不计利息。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竞得人交纳的竞买保证金转付成交价款，办理转付成交价款手续应带齐如下相关资料：</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1、非税收入缴款通知；</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银行端查询缴税凭证；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保证金到账通知书；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交易结果通知书；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保证金转账凭证。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（七）交易期间的电子交易系统服务器实行封闭管理。发生下列情形之一的，本中心需暂停、中止或终止交易活动，并及时将相关情况报政府有关行政主管部门处理，在公共资源交易平台网上予以公告。</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待问题排查、清除后，依法重新组织交易活动。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1、电子交易系统受到黑客、病毒恶意攻击的；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2、公共资源交易平台因停电、电子交易系统故障、网络故障、交易软件或数据库错误等因素影响到交易活动不能正常进行的；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3、电子交易系统发现有安全漏洞，有潜在泄密危险，无法保证电子交易信息安全和公平公正交易的；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4、政府有关行政主管部门及司法机关依法要求暂停、中止或终止交易的；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5、委托人书面通知交易中心要求暂停、中止或终止交易的；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6、依法应当暂停、中止或终止交易的其他情形。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（八）网上挂牌成交价即为该宗地的出让总地价款，竞得人除支付成交价款外，还需支付契税、印花税等有关费用。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（九）竞得人与</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签订出让合同后，应当按出让合同约定支付网上挂牌成交价款。竞得人付清全部成交价款后，依法申请办理土地登记，领取《不动产权证书》。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（十）网上挂牌不成交的，由</w:t>
      </w:r>
      <w:r>
        <w:rPr>
          <w:rFonts w:hint="eastAsia" w:ascii="仿宋_GB2312" w:hAnsi="仿宋_GB2312" w:eastAsia="仿宋_GB2312" w:cs="仿宋_GB2312"/>
          <w:color w:val="auto"/>
          <w:sz w:val="32"/>
          <w:szCs w:val="32"/>
          <w:lang w:val="en-US" w:eastAsia="zh-CN"/>
        </w:rPr>
        <w:t>仲恺高新区自然资源分局</w:t>
      </w:r>
      <w:r>
        <w:rPr>
          <w:rFonts w:hint="eastAsia" w:ascii="仿宋_GB2312" w:hAnsi="仿宋_GB2312" w:eastAsia="仿宋_GB2312" w:cs="仿宋_GB2312"/>
          <w:color w:val="auto"/>
          <w:sz w:val="32"/>
          <w:szCs w:val="32"/>
        </w:rPr>
        <w:t>重新组织挂牌出让。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（十一）出让公告、竞买须知及相关交易文件需要修改、补充时，将通过原公告发布渠道公告，不作另行通知。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（十二）本竞买须知及出让公告涉及的时间期限，以网上挂牌交易系统服务器的时间为准。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（十三）本中心对本《须知》有解释权。未尽事宜依照《招标拍卖挂牌出让国有土地使用权规范》办理。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惠州市公共资源交易中心</w:t>
      </w:r>
      <w:r>
        <w:rPr>
          <w:rFonts w:hint="eastAsia" w:ascii="仿宋_GB2312" w:hAnsi="仿宋_GB2312" w:eastAsia="仿宋_GB2312" w:cs="仿宋_GB2312"/>
          <w:color w:val="auto"/>
          <w:sz w:val="32"/>
          <w:szCs w:val="32"/>
          <w:lang w:eastAsia="zh-CN"/>
        </w:rPr>
        <w:t>仲恺分中心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pPr>
      <w:r>
        <w:rPr>
          <w:rFonts w:hint="eastAsia" w:ascii="仿宋_GB2312" w:hAnsi="仿宋_GB2312" w:eastAsia="仿宋_GB2312" w:cs="仿宋_GB2312"/>
          <w:color w:val="auto"/>
          <w:sz w:val="32"/>
          <w:szCs w:val="32"/>
          <w:lang w:val="en-US" w:eastAsia="zh-CN"/>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ZjdkMjExYmQyYTMzOGJmZGE3NGNlZTRkZDdjOWEifQ=="/>
  </w:docVars>
  <w:rsids>
    <w:rsidRoot w:val="4DEF7E0D"/>
    <w:rsid w:val="002A70DF"/>
    <w:rsid w:val="004E0656"/>
    <w:rsid w:val="008B1170"/>
    <w:rsid w:val="00DF1B89"/>
    <w:rsid w:val="00EB541A"/>
    <w:rsid w:val="021E42FC"/>
    <w:rsid w:val="027C06FE"/>
    <w:rsid w:val="03724373"/>
    <w:rsid w:val="040102F4"/>
    <w:rsid w:val="045A68D4"/>
    <w:rsid w:val="04645C15"/>
    <w:rsid w:val="050A33D7"/>
    <w:rsid w:val="0519093C"/>
    <w:rsid w:val="058544B0"/>
    <w:rsid w:val="061C3AFC"/>
    <w:rsid w:val="06CE2C04"/>
    <w:rsid w:val="07BA7581"/>
    <w:rsid w:val="07D531A4"/>
    <w:rsid w:val="08613A34"/>
    <w:rsid w:val="086E3A2D"/>
    <w:rsid w:val="098C106B"/>
    <w:rsid w:val="09A33DB0"/>
    <w:rsid w:val="09C231D7"/>
    <w:rsid w:val="09D424D6"/>
    <w:rsid w:val="0AD9060B"/>
    <w:rsid w:val="0ADE61B7"/>
    <w:rsid w:val="0B0D666A"/>
    <w:rsid w:val="0B454AA1"/>
    <w:rsid w:val="0C340856"/>
    <w:rsid w:val="0D8C325C"/>
    <w:rsid w:val="0DA2028C"/>
    <w:rsid w:val="0E290474"/>
    <w:rsid w:val="0E763593"/>
    <w:rsid w:val="0E871D80"/>
    <w:rsid w:val="0E9D2319"/>
    <w:rsid w:val="0F4B267F"/>
    <w:rsid w:val="0F514D8D"/>
    <w:rsid w:val="102B49BA"/>
    <w:rsid w:val="10453487"/>
    <w:rsid w:val="109157C4"/>
    <w:rsid w:val="10990374"/>
    <w:rsid w:val="10E24FE3"/>
    <w:rsid w:val="1109502B"/>
    <w:rsid w:val="113C03A6"/>
    <w:rsid w:val="12765ACD"/>
    <w:rsid w:val="12E11172"/>
    <w:rsid w:val="142741E7"/>
    <w:rsid w:val="14EA1252"/>
    <w:rsid w:val="14F23615"/>
    <w:rsid w:val="15315678"/>
    <w:rsid w:val="15C81688"/>
    <w:rsid w:val="174D7B68"/>
    <w:rsid w:val="176846B9"/>
    <w:rsid w:val="17975765"/>
    <w:rsid w:val="17CE5597"/>
    <w:rsid w:val="182F6FF2"/>
    <w:rsid w:val="185355FA"/>
    <w:rsid w:val="18CE68BF"/>
    <w:rsid w:val="19046CCF"/>
    <w:rsid w:val="19772641"/>
    <w:rsid w:val="1A380F31"/>
    <w:rsid w:val="1A4610D3"/>
    <w:rsid w:val="1AD0561B"/>
    <w:rsid w:val="1AD45FF2"/>
    <w:rsid w:val="1BB603AD"/>
    <w:rsid w:val="1BFB16BA"/>
    <w:rsid w:val="1C521863"/>
    <w:rsid w:val="1C8704CE"/>
    <w:rsid w:val="1CD253BA"/>
    <w:rsid w:val="1DA56071"/>
    <w:rsid w:val="1E2416B9"/>
    <w:rsid w:val="1E641C85"/>
    <w:rsid w:val="1EA73BF8"/>
    <w:rsid w:val="1EEF0614"/>
    <w:rsid w:val="1F7A0F42"/>
    <w:rsid w:val="1FDF2C6E"/>
    <w:rsid w:val="20113F02"/>
    <w:rsid w:val="203007D5"/>
    <w:rsid w:val="20DB0D61"/>
    <w:rsid w:val="2202027F"/>
    <w:rsid w:val="228A6AE9"/>
    <w:rsid w:val="22E32245"/>
    <w:rsid w:val="245808D2"/>
    <w:rsid w:val="25BB7578"/>
    <w:rsid w:val="25CF16D0"/>
    <w:rsid w:val="25E330AB"/>
    <w:rsid w:val="27192239"/>
    <w:rsid w:val="275E4DA2"/>
    <w:rsid w:val="2788684E"/>
    <w:rsid w:val="27A62FF7"/>
    <w:rsid w:val="27A74D7C"/>
    <w:rsid w:val="282453AA"/>
    <w:rsid w:val="28A57236"/>
    <w:rsid w:val="28D825D7"/>
    <w:rsid w:val="29242793"/>
    <w:rsid w:val="2A24587E"/>
    <w:rsid w:val="2A460988"/>
    <w:rsid w:val="2B4A14AA"/>
    <w:rsid w:val="2BC45712"/>
    <w:rsid w:val="2D022EAB"/>
    <w:rsid w:val="2D06606B"/>
    <w:rsid w:val="2D285730"/>
    <w:rsid w:val="2DE067AE"/>
    <w:rsid w:val="2DFB1A8C"/>
    <w:rsid w:val="2E426A62"/>
    <w:rsid w:val="2EFE0BDB"/>
    <w:rsid w:val="2FC73BF7"/>
    <w:rsid w:val="301D4CEE"/>
    <w:rsid w:val="30292C0A"/>
    <w:rsid w:val="30443144"/>
    <w:rsid w:val="30BB2FF4"/>
    <w:rsid w:val="31384D80"/>
    <w:rsid w:val="32307527"/>
    <w:rsid w:val="32E938F2"/>
    <w:rsid w:val="333B0C55"/>
    <w:rsid w:val="33662EA5"/>
    <w:rsid w:val="33D35A04"/>
    <w:rsid w:val="34C7197C"/>
    <w:rsid w:val="35596499"/>
    <w:rsid w:val="35A51AEE"/>
    <w:rsid w:val="3622284C"/>
    <w:rsid w:val="38BF1AA8"/>
    <w:rsid w:val="390F30E3"/>
    <w:rsid w:val="3912357B"/>
    <w:rsid w:val="39430D73"/>
    <w:rsid w:val="395C7663"/>
    <w:rsid w:val="39E64097"/>
    <w:rsid w:val="3A07719C"/>
    <w:rsid w:val="3BB258FD"/>
    <w:rsid w:val="3BB2617C"/>
    <w:rsid w:val="3C024937"/>
    <w:rsid w:val="3C0D6072"/>
    <w:rsid w:val="3CA1589B"/>
    <w:rsid w:val="3CF142DC"/>
    <w:rsid w:val="3D1D7EC9"/>
    <w:rsid w:val="3D753E5E"/>
    <w:rsid w:val="3DA31CA2"/>
    <w:rsid w:val="3ECF7B90"/>
    <w:rsid w:val="404B5A4D"/>
    <w:rsid w:val="40876A0E"/>
    <w:rsid w:val="41521545"/>
    <w:rsid w:val="41FB7508"/>
    <w:rsid w:val="42FF6124"/>
    <w:rsid w:val="43322E8B"/>
    <w:rsid w:val="4349577B"/>
    <w:rsid w:val="43C31733"/>
    <w:rsid w:val="448B092F"/>
    <w:rsid w:val="44CB37C9"/>
    <w:rsid w:val="44F2741B"/>
    <w:rsid w:val="45515E43"/>
    <w:rsid w:val="45D322EC"/>
    <w:rsid w:val="47896D0A"/>
    <w:rsid w:val="47CB72B8"/>
    <w:rsid w:val="481B08EE"/>
    <w:rsid w:val="4A293C80"/>
    <w:rsid w:val="4A3C6D3F"/>
    <w:rsid w:val="4B833F0F"/>
    <w:rsid w:val="4C180F41"/>
    <w:rsid w:val="4C254305"/>
    <w:rsid w:val="4CA54126"/>
    <w:rsid w:val="4CD7201B"/>
    <w:rsid w:val="4CE20586"/>
    <w:rsid w:val="4D0A7CEF"/>
    <w:rsid w:val="4DEF7E0D"/>
    <w:rsid w:val="4EF720A7"/>
    <w:rsid w:val="4EFE54A8"/>
    <w:rsid w:val="4F544146"/>
    <w:rsid w:val="4FB82E43"/>
    <w:rsid w:val="4FC541E1"/>
    <w:rsid w:val="50C36E91"/>
    <w:rsid w:val="511D3D61"/>
    <w:rsid w:val="51B55A33"/>
    <w:rsid w:val="51BF53F5"/>
    <w:rsid w:val="521411ED"/>
    <w:rsid w:val="52D36F17"/>
    <w:rsid w:val="52FD319D"/>
    <w:rsid w:val="53EB6C39"/>
    <w:rsid w:val="54074ECA"/>
    <w:rsid w:val="541D1806"/>
    <w:rsid w:val="54A573E2"/>
    <w:rsid w:val="54D22B87"/>
    <w:rsid w:val="54E55CB6"/>
    <w:rsid w:val="54F42615"/>
    <w:rsid w:val="55895FEC"/>
    <w:rsid w:val="560B2BE3"/>
    <w:rsid w:val="56AA0646"/>
    <w:rsid w:val="56E5772A"/>
    <w:rsid w:val="57222921"/>
    <w:rsid w:val="574F0216"/>
    <w:rsid w:val="57A838BD"/>
    <w:rsid w:val="581114CF"/>
    <w:rsid w:val="58416F9F"/>
    <w:rsid w:val="58B95063"/>
    <w:rsid w:val="59155BB5"/>
    <w:rsid w:val="5B24577F"/>
    <w:rsid w:val="5B4216D5"/>
    <w:rsid w:val="5B5636DF"/>
    <w:rsid w:val="5BE70A87"/>
    <w:rsid w:val="5C185F3C"/>
    <w:rsid w:val="5C291B49"/>
    <w:rsid w:val="5C7B3DE4"/>
    <w:rsid w:val="5C9B5593"/>
    <w:rsid w:val="5CB27CA0"/>
    <w:rsid w:val="5CF80CDE"/>
    <w:rsid w:val="5D9414D1"/>
    <w:rsid w:val="5E394EDC"/>
    <w:rsid w:val="5E7B348D"/>
    <w:rsid w:val="5EA13E10"/>
    <w:rsid w:val="5EC66CF9"/>
    <w:rsid w:val="5EC71682"/>
    <w:rsid w:val="5ED36144"/>
    <w:rsid w:val="613F1351"/>
    <w:rsid w:val="618E2C45"/>
    <w:rsid w:val="61990B7A"/>
    <w:rsid w:val="61A576A0"/>
    <w:rsid w:val="621E68C3"/>
    <w:rsid w:val="63813229"/>
    <w:rsid w:val="63947E29"/>
    <w:rsid w:val="63C40257"/>
    <w:rsid w:val="64AA4741"/>
    <w:rsid w:val="650B6417"/>
    <w:rsid w:val="65CD4168"/>
    <w:rsid w:val="660E2CE4"/>
    <w:rsid w:val="663A18E5"/>
    <w:rsid w:val="665D6674"/>
    <w:rsid w:val="67266AD9"/>
    <w:rsid w:val="677B78E0"/>
    <w:rsid w:val="67940659"/>
    <w:rsid w:val="679637C9"/>
    <w:rsid w:val="6827282C"/>
    <w:rsid w:val="68B21641"/>
    <w:rsid w:val="694E5067"/>
    <w:rsid w:val="696507F6"/>
    <w:rsid w:val="69E339AF"/>
    <w:rsid w:val="6A6A2D90"/>
    <w:rsid w:val="6B0F11A5"/>
    <w:rsid w:val="6B5F542A"/>
    <w:rsid w:val="6E143156"/>
    <w:rsid w:val="6EA97DF1"/>
    <w:rsid w:val="6F11588E"/>
    <w:rsid w:val="6F3F60CB"/>
    <w:rsid w:val="6FB309BB"/>
    <w:rsid w:val="700A2548"/>
    <w:rsid w:val="701259C5"/>
    <w:rsid w:val="701E44B3"/>
    <w:rsid w:val="70FB0524"/>
    <w:rsid w:val="71D875F8"/>
    <w:rsid w:val="720F4F8D"/>
    <w:rsid w:val="725B112A"/>
    <w:rsid w:val="72806B8D"/>
    <w:rsid w:val="72850F74"/>
    <w:rsid w:val="731F7824"/>
    <w:rsid w:val="73EA4F05"/>
    <w:rsid w:val="74576D8C"/>
    <w:rsid w:val="74A02355"/>
    <w:rsid w:val="74DB735A"/>
    <w:rsid w:val="74E70BFE"/>
    <w:rsid w:val="7512260E"/>
    <w:rsid w:val="75290B39"/>
    <w:rsid w:val="76BE58EE"/>
    <w:rsid w:val="77792766"/>
    <w:rsid w:val="77883267"/>
    <w:rsid w:val="77B110A6"/>
    <w:rsid w:val="77BA657B"/>
    <w:rsid w:val="77D30814"/>
    <w:rsid w:val="78B8605A"/>
    <w:rsid w:val="78DB257F"/>
    <w:rsid w:val="78F331FA"/>
    <w:rsid w:val="790076DC"/>
    <w:rsid w:val="7B5A6DBE"/>
    <w:rsid w:val="7C7D75A4"/>
    <w:rsid w:val="7D026DDA"/>
    <w:rsid w:val="7E0B351C"/>
    <w:rsid w:val="7E3951BD"/>
    <w:rsid w:val="7E4564BC"/>
    <w:rsid w:val="7E583087"/>
    <w:rsid w:val="7EAB5527"/>
    <w:rsid w:val="7EEF76AA"/>
    <w:rsid w:val="7F1C3C6E"/>
    <w:rsid w:val="7FC11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_Style 1"/>
    <w:basedOn w:val="3"/>
    <w:qFormat/>
    <w:uiPriority w:val="1"/>
    <w:pPr>
      <w:adjustRightInd w:val="0"/>
      <w:snapToGrid w:val="0"/>
      <w:spacing w:line="620" w:lineRule="exact"/>
      <w:ind w:firstLine="200" w:firstLineChars="200"/>
    </w:pPr>
    <w:rPr>
      <w:rFonts w:ascii="Calibri" w:hAnsi="Calibri" w:eastAsia="宋体" w:cs="Times New Roman"/>
      <w:sz w:val="32"/>
      <w:szCs w:val="21"/>
      <w:lang w:val="en-US" w:eastAsia="zh-CN" w:bidi="ar-SA"/>
    </w:rPr>
  </w:style>
  <w:style w:type="paragraph" w:customStyle="1" w:styleId="3">
    <w:name w:val="正文 New New New New New New New New New New New New New New New New New New New New New New New New New New New New New New New"/>
    <w:next w:val="2"/>
    <w:qFormat/>
    <w:uiPriority w:val="0"/>
    <w:pPr>
      <w:widowControl w:val="0"/>
      <w:jc w:val="both"/>
    </w:pPr>
    <w:rPr>
      <w:rFonts w:ascii="Calibri" w:hAnsi="Calibri" w:eastAsia="宋体" w:cs="黑体"/>
      <w:kern w:val="2"/>
      <w:sz w:val="21"/>
      <w:szCs w:val="22"/>
      <w:lang w:val="en-US" w:eastAsia="zh-CN" w:bidi="ar-SA"/>
    </w:rPr>
  </w:style>
  <w:style w:type="paragraph" w:styleId="4">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337AB7"/>
      <w:u w:val="none"/>
    </w:rPr>
  </w:style>
  <w:style w:type="character" w:styleId="12">
    <w:name w:val="HTML Definition"/>
    <w:basedOn w:val="9"/>
    <w:qFormat/>
    <w:uiPriority w:val="0"/>
    <w:rPr>
      <w:i/>
    </w:rPr>
  </w:style>
  <w:style w:type="character" w:styleId="13">
    <w:name w:val="Hyperlink"/>
    <w:basedOn w:val="9"/>
    <w:qFormat/>
    <w:uiPriority w:val="0"/>
    <w:rPr>
      <w:color w:val="337AB7"/>
      <w:u w:val="none"/>
    </w:rPr>
  </w:style>
  <w:style w:type="character" w:styleId="14">
    <w:name w:val="HTML Code"/>
    <w:basedOn w:val="9"/>
    <w:qFormat/>
    <w:uiPriority w:val="0"/>
    <w:rPr>
      <w:rFonts w:ascii="Consolas" w:hAnsi="Consolas" w:eastAsia="Consolas" w:cs="Consolas"/>
      <w:color w:val="C7254E"/>
      <w:sz w:val="21"/>
      <w:szCs w:val="21"/>
      <w:shd w:val="clear" w:fill="F9F2F4"/>
    </w:rPr>
  </w:style>
  <w:style w:type="character" w:styleId="15">
    <w:name w:val="HTML Keyboard"/>
    <w:basedOn w:val="9"/>
    <w:qFormat/>
    <w:uiPriority w:val="0"/>
    <w:rPr>
      <w:rFonts w:hint="default" w:ascii="Consolas" w:hAnsi="Consolas" w:eastAsia="Consolas" w:cs="Consolas"/>
      <w:color w:val="FFFFFF"/>
      <w:sz w:val="21"/>
      <w:szCs w:val="21"/>
      <w:shd w:val="clear" w:fill="333333"/>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first-child"/>
    <w:basedOn w:val="9"/>
    <w:qFormat/>
    <w:uiPriority w:val="0"/>
  </w:style>
  <w:style w:type="character" w:customStyle="1" w:styleId="18">
    <w:name w:val="layui-layer-tabnow"/>
    <w:basedOn w:val="9"/>
    <w:qFormat/>
    <w:uiPriority w:val="0"/>
    <w:rPr>
      <w:bdr w:val="single" w:color="CCCCCC" w:sz="6" w:space="0"/>
      <w:shd w:val="clear" w:fill="FFFFFF"/>
    </w:rPr>
  </w:style>
  <w:style w:type="character" w:customStyle="1" w:styleId="19">
    <w:name w:val="actspan"/>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仲恺高新技术开发区</Company>
  <Pages>11</Pages>
  <Words>5241</Words>
  <Characters>5291</Characters>
  <Lines>0</Lines>
  <Paragraphs>0</Paragraphs>
  <TotalTime>49</TotalTime>
  <ScaleCrop>false</ScaleCrop>
  <LinksUpToDate>false</LinksUpToDate>
  <CharactersWithSpaces>5338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2022-09-06T01:51:00Z</dcterms:created>
  <dc:creator>Administrator</dc:creator>
  <cp:lastModifiedBy>Administrator</cp:lastModifiedBy>
  <cp:lastPrinted>2023-09-27T08:33:00Z</cp:lastPrinted>
  <dcterms:modified xsi:type="dcterms:W3CDTF">2023-11-20T11:46:36Z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42019087B14C434BA198769C48C5CF5B</vt:lpwstr>
  </property>
</Properties>
</file>